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>
      <w:pPr>
        <w:pStyle w:val="Texte"/>
        <w:rPr>
          <w:rFonts w:ascii="Times New Roman" w:hAnsi="Times New Roman"/>
          <w:noProof w:val="0"/>
        </w:rPr>
      </w:pPr>
    </w:p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TABLEUR – NIVEAU ELEMENTAIRE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  754501U21D2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INFORMATIQUE : TABLEUR – NIVEAU ELEMENTAIRE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L'unité d'enseignement vise à permettre à l’étudiant :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s'initier aux techniques et connaissances nécessaires à l'utilisation des systèmes informatiques, en particulier de type logiciels tableurs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traiter rapidement des données chiffrées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l'informatisation par la compréhension des concepts mis en jeu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pStyle w:val="Retraitcorpsdetexte"/>
        <w:numPr>
          <w:ilvl w:val="0"/>
          <w:numId w:val="0"/>
        </w:numPr>
        <w:tabs>
          <w:tab w:val="clear" w:pos="-720"/>
        </w:tabs>
        <w:ind w:left="851"/>
      </w:pPr>
      <w:r>
        <w:t>L’étudiant sera capable :</w:t>
      </w:r>
    </w:p>
    <w:p>
      <w:pPr>
        <w:ind w:left="851"/>
        <w:jc w:val="both"/>
        <w:rPr>
          <w:sz w:val="22"/>
        </w:rPr>
      </w:pPr>
    </w:p>
    <w:p>
      <w:pPr>
        <w:ind w:left="851"/>
        <w:jc w:val="both"/>
        <w:rPr>
          <w:b/>
          <w:i/>
          <w:sz w:val="22"/>
        </w:rPr>
      </w:pPr>
      <w:r>
        <w:rPr>
          <w:b/>
          <w:i/>
          <w:sz w:val="22"/>
        </w:rPr>
        <w:t>en informatique,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b/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mettre en route le système informatique 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d’utiliser ses périphériques 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 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créer et d’imprimer un fichier  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clôturer une session de travail ;</w:t>
      </w:r>
    </w:p>
    <w:p>
      <w:pPr>
        <w:ind w:left="851"/>
        <w:jc w:val="both"/>
        <w:rPr>
          <w:sz w:val="22"/>
        </w:rPr>
      </w:pPr>
    </w:p>
    <w:p>
      <w:pPr>
        <w:ind w:left="993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en mathématiques,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d’appliquer les règles et conventions du calcul algébrique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résoudre une équation du premier degré à une inconnue (type simple à coefficient numérique)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transformer une formule en fonction du résultat cherché ;</w:t>
      </w:r>
    </w:p>
    <w:p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>d’utiliser le système métrique (prise de mesures et conversions).</w:t>
      </w:r>
    </w:p>
    <w:p>
      <w:pPr>
        <w:jc w:val="both"/>
        <w:rPr>
          <w:b/>
          <w:sz w:val="22"/>
        </w:rPr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lastRenderedPageBreak/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Retraitcorpsdetexte2"/>
        <w:ind w:left="851"/>
      </w:pPr>
      <w:r>
        <w:t xml:space="preserve">Attestation de réussite de l'unité d'enseignement « INFORMATIQUE : INTRODUCTION A L’INFORMATIQUE » de l’enseignement secondaire supérieur de transition et un certificat de l’enseignement secondaire inférieur. </w:t>
      </w: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780"/>
        <w:rPr>
          <w:sz w:val="22"/>
        </w:rPr>
      </w:pPr>
      <w:r>
        <w:rPr>
          <w:sz w:val="22"/>
        </w:rPr>
        <w:t>Pour atteindre le seuil de réussite, l'étudiant sera capable :</w:t>
      </w:r>
    </w:p>
    <w:p>
      <w:pPr>
        <w:ind w:left="780"/>
        <w:jc w:val="both"/>
        <w:rPr>
          <w:sz w:val="22"/>
        </w:rPr>
      </w:pP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face à un système informatique connu, sur lequel est installé le logiciel qui a servi à l'apprentissage,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ind w:left="354"/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d’encoder et de traiter des données ;</w:t>
      </w:r>
    </w:p>
    <w:p>
      <w:pPr>
        <w:numPr>
          <w:ilvl w:val="0"/>
          <w:numId w:val="4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présenter des résultats sous forme graphique ;</w:t>
      </w:r>
    </w:p>
    <w:p>
      <w:pPr>
        <w:numPr>
          <w:ilvl w:val="0"/>
          <w:numId w:val="4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sauvegarder le travail ;</w:t>
      </w:r>
    </w:p>
    <w:p>
      <w:pPr>
        <w:numPr>
          <w:ilvl w:val="0"/>
          <w:numId w:val="4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d'imprimer le résultat en tout ou en partie.</w:t>
      </w:r>
    </w:p>
    <w:p>
      <w:pPr>
        <w:jc w:val="both"/>
        <w:rPr>
          <w:sz w:val="22"/>
        </w:rPr>
      </w:pPr>
    </w:p>
    <w:p>
      <w:pPr>
        <w:tabs>
          <w:tab w:val="left" w:pos="426"/>
        </w:tabs>
        <w:jc w:val="both"/>
        <w:rPr>
          <w:sz w:val="22"/>
        </w:rPr>
      </w:pPr>
    </w:p>
    <w:p>
      <w:pPr>
        <w:pStyle w:val="Corpsdetexte2"/>
        <w:ind w:left="501"/>
      </w:pPr>
      <w:r>
        <w:t>Pour la détermination du degré de maîtrise, il sera tenu compte des critères suivants :</w:t>
      </w:r>
    </w:p>
    <w:p>
      <w:pPr>
        <w:pStyle w:val="Corpsdetexte2"/>
        <w:ind w:left="501"/>
      </w:pPr>
    </w:p>
    <w:p>
      <w:pPr>
        <w:numPr>
          <w:ilvl w:val="0"/>
          <w:numId w:val="4"/>
        </w:numPr>
        <w:tabs>
          <w:tab w:val="clear" w:pos="360"/>
          <w:tab w:val="num" w:pos="937"/>
          <w:tab w:val="num" w:pos="1080"/>
        </w:tabs>
        <w:ind w:left="937"/>
        <w:rPr>
          <w:sz w:val="22"/>
        </w:rPr>
      </w:pPr>
      <w:r>
        <w:rPr>
          <w:sz w:val="22"/>
        </w:rPr>
        <w:t>le choix des techniques,</w:t>
      </w:r>
    </w:p>
    <w:p>
      <w:pPr>
        <w:numPr>
          <w:ilvl w:val="0"/>
          <w:numId w:val="4"/>
        </w:numPr>
        <w:tabs>
          <w:tab w:val="clear" w:pos="360"/>
          <w:tab w:val="num" w:pos="937"/>
          <w:tab w:val="num" w:pos="1080"/>
        </w:tabs>
        <w:ind w:left="937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4"/>
        </w:numPr>
        <w:tabs>
          <w:tab w:val="clear" w:pos="360"/>
          <w:tab w:val="num" w:pos="937"/>
          <w:tab w:val="num" w:pos="1080"/>
        </w:tabs>
        <w:ind w:left="937"/>
        <w:rPr>
          <w:sz w:val="22"/>
        </w:rPr>
      </w:pPr>
      <w:r>
        <w:rPr>
          <w:sz w:val="22"/>
        </w:rPr>
        <w:t>le respect du temps alloué.</w:t>
      </w:r>
    </w:p>
    <w:p>
      <w:pPr>
        <w:tabs>
          <w:tab w:val="num" w:pos="1080"/>
        </w:tabs>
        <w:rPr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« démarrer » le logiciel d’une manière directe (icônes, commandes,…) ou de manière indirecte (documents associés,…)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d’identifier les différents éléments constitutifs d’un classeur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manipuler des données (types de données, encodage, mises en forme, mises en forme avancées)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créer et de manipuler feuilles et classeurs (organisation, enregistrement, protection, définition de noms)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décomposer une expression mathématique en ses différents éléments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d’utiliser :</w:t>
      </w:r>
    </w:p>
    <w:p>
      <w:pPr>
        <w:numPr>
          <w:ilvl w:val="0"/>
          <w:numId w:val="5"/>
        </w:numPr>
        <w:tabs>
          <w:tab w:val="clear" w:pos="360"/>
          <w:tab w:val="num" w:pos="1494"/>
        </w:tabs>
        <w:ind w:left="1494"/>
        <w:jc w:val="both"/>
        <w:rPr>
          <w:sz w:val="22"/>
        </w:rPr>
      </w:pPr>
      <w:r>
        <w:rPr>
          <w:sz w:val="22"/>
        </w:rPr>
        <w:t>à l’aide de formules utilisant des références relatives et/ou des références absolues,</w:t>
      </w:r>
    </w:p>
    <w:p>
      <w:pPr>
        <w:numPr>
          <w:ilvl w:val="0"/>
          <w:numId w:val="5"/>
        </w:numPr>
        <w:tabs>
          <w:tab w:val="clear" w:pos="360"/>
          <w:tab w:val="num" w:pos="1494"/>
        </w:tabs>
        <w:ind w:left="1494"/>
        <w:jc w:val="both"/>
        <w:rPr>
          <w:sz w:val="22"/>
        </w:rPr>
      </w:pPr>
      <w:r>
        <w:rPr>
          <w:sz w:val="22"/>
        </w:rPr>
        <w:t xml:space="preserve">à l’aide de fonctions courantes ; 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d’appliquer les règles de priorité des opérations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représenter des résultats sous forme graphique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d’imprimer des données et des graphiques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d’accéder à l’aide en ligne du logiciel et de consulter la documentation.</w:t>
      </w:r>
    </w:p>
    <w:p>
      <w:pPr>
        <w:jc w:val="both"/>
        <w:rPr>
          <w:sz w:val="22"/>
        </w:rPr>
      </w:pPr>
    </w:p>
    <w:p>
      <w:pPr>
        <w:tabs>
          <w:tab w:val="num" w:pos="1080"/>
        </w:tabs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tabs>
          <w:tab w:val="left" w:pos="284"/>
        </w:tabs>
        <w:jc w:val="both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Tableur Niveau élémentaire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2A251EA"/>
    <w:multiLevelType w:val="hybridMultilevel"/>
    <w:tmpl w:val="66BA5FFA"/>
    <w:lvl w:ilvl="0" w:tplc="35D0E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10B9"/>
    <w:multiLevelType w:val="hybridMultilevel"/>
    <w:tmpl w:val="28546DC6"/>
    <w:lvl w:ilvl="0" w:tplc="295AD5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0409F"/>
    <w:multiLevelType w:val="singleLevel"/>
    <w:tmpl w:val="61128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579A73A0"/>
    <w:multiLevelType w:val="hybridMultilevel"/>
    <w:tmpl w:val="080AE1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077A"/>
    <w:multiLevelType w:val="singleLevel"/>
    <w:tmpl w:val="8D72C1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657DA8-E94D-49A6-B562-97D0EAE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8</TotalTime>
  <Pages>4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MERTENS Karin</cp:lastModifiedBy>
  <cp:revision>6</cp:revision>
  <cp:lastPrinted>2003-11-25T09:46:00Z</cp:lastPrinted>
  <dcterms:created xsi:type="dcterms:W3CDTF">2017-03-08T12:34:00Z</dcterms:created>
  <dcterms:modified xsi:type="dcterms:W3CDTF">2017-05-22T11:06:00Z</dcterms:modified>
</cp:coreProperties>
</file>